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</w:pPr>
      <w:r>
        <w:drawing>
          <wp:inline distT="0" distB="0" distL="0" distR="0">
            <wp:extent cx="1428750" cy="742950"/>
            <wp:effectExtent t="0" r="0" b="0" l="0"/>
            <wp:docPr id="25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b/>
          <w:bCs/>
          <w:color w:val="51606C"/>
          <w:sz w:val="18"/>
          <w:szCs w:val="18"/>
        </w:rPr>
        <w:t xml:space="preserve">CHECKLIST · TALLER 4 · Ciberataques a través de proveedores: protege tu negocio</w:t>
      </w:r>
    </w:p>
    <w:p>
      <w:pPr>
        <w:pStyle w:val="Title"/>
      </w:pPr>
      <w:r>
        <w:t xml:space="preserve">Checklist de seguridad en proveedores</w:t>
      </w:r>
    </w:p>
    <w:p>
      <w:pPr>
        <w:spacing w:after="280"/>
      </w:pPr>
      <w:r>
        <w:rPr>
          <w:color w:val="51606C"/>
          <w:sz w:val="24"/>
          <w:szCs w:val="24"/>
        </w:rPr>
        <w:t xml:space="preserve">Seis áreas para revisar la seguridad de tus proveedores y de todo lo que entra desde fuera, unas pocas preguntas en cada una y tres respuestas posibles: Implantado, Parcial o No implantado. Al terminar sabrás qué tienes en verde, en ámbar o en rojo, y qué decidir primero.</w:t>
      </w:r>
    </w:p>
    <w:p>
      <w:pPr>
        <w:pStyle w:val="Heading1"/>
      </w:pPr>
      <w:r>
        <w:t xml:space="preserve">Cómo funciona</w:t>
      </w:r>
    </w:p>
    <w:p>
      <w:pPr>
        <w:spacing w:after="140"/>
      </w:pPr>
      <w:r>
        <w:t xml:space="preserve">Tu programa de gestión, el correo en la nube, la asesoría, el transportista o la plataforma de pedidos de la distribuidora también forman parte de tu seguridad: puedes tener la casa cerrada y verte afectado por un tercero. Estas son las medidas que trabajamos en el Taller 4 para reducir tus vulnerabilidades externas: casi todas son organización y contratos, no tecnología.</w:t>
      </w:r>
    </w:p>
    <w:p>
      <w:pPr>
        <w:spacing w:after="140"/>
      </w:pPr>
      <w:r>
        <w:t xml:space="preserve">Responde cada pregunta con «Implantado», «Parcial» o «No implantado», pensando en tu empresa tal y como está hoy. Ante la duda, elige la respuesta más baja: un rojo reconocido es justo lo que te dice por dónde empezar.</w:t>
      </w:r>
    </w:p>
    <w:p>
      <w:pPr>
        <w:pStyle w:val="Heading1"/>
      </w:pPr>
      <w:r>
        <w:t xml:space="preserve">Proveedores tecnológicos y no tecnológicos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1.</w:t>
      </w:r>
      <w:r>
        <w:t xml:space="preserve">	¿Tenemos una lista de nuestros proveedores, tecnológicos y no tecnológicos: programa de gestión, correo, mantenimiento informático, asesoría, transportistas y plataformas de la distribución?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Implantado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Parcial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 implantado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2.</w:t>
      </w:r>
      <w:r>
        <w:t xml:space="preserve">	¿Sabemos de cada uno qué datos trata, a qué sistemas llega y si nos pararía en caso de fallar?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Implantado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Parcial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 implantado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3.</w:t>
      </w:r>
      <w:r>
        <w:t xml:space="preserve">	¿Hemos marcado como críticos los que reúnen las tres cosas (datos, sistemas y dependencia) y empezamos por ellos?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Implantado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Parcial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 implantado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4.</w:t>
      </w:r>
      <w:r>
        <w:t xml:space="preserve">	¿Antes de contratar un proveedor tecnológico le preguntamos dónde guarda los datos, qué medidas aplica y cómo avisa de un incidente?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Implantado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Parcial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 implantado</w:t>
      </w:r>
    </w:p>
    <w:p>
      <w:pPr>
        <w:spacing w:after="160"/>
        <w:ind w:left="425"/>
      </w:pPr>
      <w:r>
        <w:rPr>
          <w:b/>
          <w:bCs/>
          <w:color w:val="112C47"/>
        </w:rPr>
        <w:t xml:space="preserve">Color del área:  </w:t>
      </w:r>
      <w:r>
        <w:rPr>
          <w:rFonts w:ascii="Segoe UI Symbol" w:cs="Segoe UI Symbol" w:eastAsia="Segoe UI Symbol" w:hAnsi="Segoe UI Symbol"/>
        </w:rPr>
        <w:t xml:space="preserve">☐</w:t>
      </w:r>
      <w:r>
        <w:t xml:space="preserve"> Verde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Ámbar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Rojo</w:t>
      </w:r>
    </w:p>
    <w:p>
      <w:pPr>
        <w:pStyle w:val="Heading1"/>
      </w:pPr>
      <w:r>
        <w:t xml:space="preserve">Accesos externos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1.</w:t>
      </w:r>
      <w:r>
        <w:t xml:space="preserve">	¿Cada técnico o proveedor que entra en nuestros sistemas lo hace con su propia cuenta, sin claves compartidas como «soporte_erp»?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Implantado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Parcial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 implantado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2.</w:t>
      </w:r>
      <w:r>
        <w:t xml:space="preserve">	¿Los accesos desde fuera, como el acceso remoto o la VPN, piden doble factor?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Implantado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Parcial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 implantado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3.</w:t>
      </w:r>
      <w:r>
        <w:t xml:space="preserve">	¿Cada acceso externo tiene un responsable en la empresa y solo el permiso que su tarea necesita?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Implantado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Parcial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 implantado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4.</w:t>
      </w:r>
      <w:r>
        <w:t xml:space="preserve">	¿Retiramos los accesos el mismo día que termina la relación y los revisamos al cerrar cada campaña?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Implantado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Parcial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 implantado</w:t>
      </w:r>
    </w:p>
    <w:p>
      <w:pPr>
        <w:spacing w:after="160"/>
        <w:ind w:left="425"/>
      </w:pPr>
      <w:r>
        <w:rPr>
          <w:b/>
          <w:bCs/>
          <w:color w:val="112C47"/>
        </w:rPr>
        <w:t xml:space="preserve">Color del área:  </w:t>
      </w:r>
      <w:r>
        <w:rPr>
          <w:rFonts w:ascii="Segoe UI Symbol" w:cs="Segoe UI Symbol" w:eastAsia="Segoe UI Symbol" w:hAnsi="Segoe UI Symbol"/>
        </w:rPr>
        <w:t xml:space="preserve">☐</w:t>
      </w:r>
      <w:r>
        <w:t xml:space="preserve"> Verde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Ámbar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Rojo</w:t>
      </w:r>
    </w:p>
    <w:p>
      <w:pPr>
        <w:pStyle w:val="Heading1"/>
      </w:pPr>
      <w:r>
        <w:t xml:space="preserve">Correo, ofimática y nube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1.</w:t>
      </w:r>
      <w:r>
        <w:t xml:space="preserve">	¿Todas las cuentas de correo y de la nube tienen doble factor, también las genéricas como la de pedidos?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Implantado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Parcial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 implantado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2.</w:t>
      </w:r>
      <w:r>
        <w:t xml:space="preserve">	¿Revisamos qué aplicaciones tienen permiso sobre nuestras cuentas y desconectamos las que nadie usa?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Implantado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Parcial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 implantado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3.</w:t>
      </w:r>
      <w:r>
        <w:t xml:space="preserve">	¿Las carpetas y los enlaces compartidos en la nube van a personas concretas, caducan y tienen un responsable?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Implantado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Parcial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 implantado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4.</w:t>
      </w:r>
      <w:r>
        <w:t xml:space="preserve">	¿El equipo sabe que no debe «habilitar contenido» (macros) en un documento que no esperaba?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Implantado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Parcial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 implantado</w:t>
      </w:r>
    </w:p>
    <w:p>
      <w:pPr>
        <w:spacing w:after="160"/>
        <w:ind w:left="425"/>
      </w:pPr>
      <w:r>
        <w:rPr>
          <w:b/>
          <w:bCs/>
          <w:color w:val="112C47"/>
        </w:rPr>
        <w:t xml:space="preserve">Color del área:  </w:t>
      </w:r>
      <w:r>
        <w:rPr>
          <w:rFonts w:ascii="Segoe UI Symbol" w:cs="Segoe UI Symbol" w:eastAsia="Segoe UI Symbol" w:hAnsi="Segoe UI Symbol"/>
        </w:rPr>
        <w:t xml:space="preserve">☐</w:t>
      </w:r>
      <w:r>
        <w:t xml:space="preserve"> Verde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Ámbar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Rojo</w:t>
      </w:r>
    </w:p>
    <w:p>
      <w:pPr>
        <w:pStyle w:val="Heading1"/>
      </w:pPr>
      <w:r>
        <w:t xml:space="preserve">Plataformas compartidas, logística y EDI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1.</w:t>
      </w:r>
      <w:r>
        <w:t xml:space="preserve">	¿Sabemos en qué plataformas compartidas trabajamos: el sistema de pedidos común, los portales de transportistas o la plataforma EDI de la distribución?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Implantado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Parcial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 implantado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2.</w:t>
      </w:r>
      <w:r>
        <w:t xml:space="preserve">	¿En cada plataforma cada persona tiene su propio usuario, con doble factor si la plataforma lo permite?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Implantado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Parcial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 implantado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3.</w:t>
      </w:r>
      <w:r>
        <w:t xml:space="preserve">	¿Cada usuario tiene solo el permiso que necesita, como ver y confirmar entregas sin poder editar pedidos, y las bajas se hacen el mismo día?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Implantado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Parcial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 implantado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4.</w:t>
      </w:r>
      <w:r>
        <w:t xml:space="preserve">	¿Un cambio de dirección de entrega o de datos de un cliente en la plataforma se comprueba antes de darlo por bueno?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Implantado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Parcial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 implantado</w:t>
      </w:r>
    </w:p>
    <w:p>
      <w:pPr>
        <w:spacing w:after="160"/>
        <w:ind w:left="425"/>
      </w:pPr>
      <w:r>
        <w:rPr>
          <w:b/>
          <w:bCs/>
          <w:color w:val="112C47"/>
        </w:rPr>
        <w:t xml:space="preserve">Color del área:  </w:t>
      </w:r>
      <w:r>
        <w:rPr>
          <w:rFonts w:ascii="Segoe UI Symbol" w:cs="Segoe UI Symbol" w:eastAsia="Segoe UI Symbol" w:hAnsi="Segoe UI Symbol"/>
        </w:rPr>
        <w:t xml:space="preserve">☐</w:t>
      </w:r>
      <w:r>
        <w:t xml:space="preserve"> Verde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Ámbar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Rojo</w:t>
      </w:r>
    </w:p>
    <w:p>
      <w:pPr>
        <w:pStyle w:val="Heading1"/>
      </w:pPr>
      <w:r>
        <w:t xml:space="preserve">Intercambio de documentos y pagos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1.</w:t>
      </w:r>
      <w:r>
        <w:t xml:space="preserve">	¿Tenemos un canal acordado con cada proveedor, asesoría y cliente para pedidos, albaranes, facturas y nóminas?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Implantado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Parcial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 implantado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2.</w:t>
      </w:r>
      <w:r>
        <w:t xml:space="preserve">	¿Tenemos una norma de pagos: un cambio de cuenta bancaria nunca se acepta por correo y se confirma por teléfono, al número de siempre?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Implantado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Parcial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 implantado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3.</w:t>
      </w:r>
      <w:r>
        <w:t xml:space="preserve">	¿Evitamos enviar documentos sensibles por mensajería o correo personal?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Implantado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Parcial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 implantado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4.</w:t>
      </w:r>
      <w:r>
        <w:t xml:space="preserve">	¿Comprobamos un adjunto o una factura inesperados antes de abrirlos o pagarlos, aunque vengan de un proveedor conocido?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Implantado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Parcial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 implantado</w:t>
      </w:r>
    </w:p>
    <w:p>
      <w:pPr>
        <w:spacing w:after="160"/>
        <w:ind w:left="425"/>
      </w:pPr>
      <w:r>
        <w:rPr>
          <w:b/>
          <w:bCs/>
          <w:color w:val="112C47"/>
        </w:rPr>
        <w:t xml:space="preserve">Color del área:  </w:t>
      </w:r>
      <w:r>
        <w:rPr>
          <w:rFonts w:ascii="Segoe UI Symbol" w:cs="Segoe UI Symbol" w:eastAsia="Segoe UI Symbol" w:hAnsi="Segoe UI Symbol"/>
        </w:rPr>
        <w:t xml:space="preserve">☐</w:t>
      </w:r>
      <w:r>
        <w:t xml:space="preserve"> Verde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Ámbar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Rojo</w:t>
      </w:r>
    </w:p>
    <w:p>
      <w:pPr>
        <w:pStyle w:val="Heading1"/>
      </w:pPr>
      <w:r>
        <w:t xml:space="preserve">Contratos y plan B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1.</w:t>
      </w:r>
      <w:r>
        <w:t xml:space="preserve">	¿Tenemos firmado un contrato de encargado del tratamiento (RGPD, artículo 28) con cada proveedor que trata datos personales por nosotros, como la asesoría o el programa de gestión en la nube?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Implantado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Parcial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 implantado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2.</w:t>
      </w:r>
      <w:r>
        <w:t xml:space="preserve">	¿Los contratos con los proveedores críticos fijan por qué canal y en cuánto tiempo nos avisan de un incidente, y tenemos ese contacto a mano?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Implantado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Parcial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 implantado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3.</w:t>
      </w:r>
      <w:r>
        <w:t xml:space="preserve">	¿Tenemos una copia propia de nuestros datos fuera del sistema del proveedor, como los pedidos que viven en su programa?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Implantado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Parcial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 implantado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4.</w:t>
      </w:r>
      <w:r>
        <w:t xml:space="preserve">	¿Para cada proveedor crítico sabemos cómo seguir trabajando si cae, en papel o en una hoja de cálculo, y qué alternativa tenemos si tarda días en volver?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Implantado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Parcial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 implantado</w:t>
      </w:r>
    </w:p>
    <w:p>
      <w:pPr>
        <w:spacing w:after="160"/>
        <w:ind w:left="425"/>
      </w:pPr>
      <w:r>
        <w:rPr>
          <w:b/>
          <w:bCs/>
          <w:color w:val="112C47"/>
        </w:rPr>
        <w:t xml:space="preserve">Color del área:  </w:t>
      </w:r>
      <w:r>
        <w:rPr>
          <w:rFonts w:ascii="Segoe UI Symbol" w:cs="Segoe UI Symbol" w:eastAsia="Segoe UI Symbol" w:hAnsi="Segoe UI Symbol"/>
        </w:rPr>
        <w:t xml:space="preserve">☐</w:t>
      </w:r>
      <w:r>
        <w:t xml:space="preserve"> Verde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Ámbar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Rojo</w:t>
      </w:r>
    </w:p>
    <w:p>
      <w:pPr>
        <w:pStyle w:val="Heading1"/>
      </w:pPr>
      <w:r>
        <w:t xml:space="preserve">Cómo sale el color de cada área</w:t>
      </w:r>
    </w:p>
    <w:p>
      <w:pPr>
        <w:spacing w:after="140"/>
      </w:pPr>
      <w:r>
        <w:t xml:space="preserve">Mira las respuestas de cada área por separado. Sé exigente: una medida solo está implantada si funciona hoy, no si está prevista.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Verde (cubierto): todas las respuestas del área son «Implantado».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Ámbar (a medias): hay algún «Parcial» y ningún «No implantado».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Rojo (sin cubrir): hay al menos un «No implantado».</w:t>
      </w:r>
    </w:p>
    <w:p>
      <w:pPr>
        <w:pStyle w:val="Heading1"/>
      </w:pPr>
      <w:r>
        <w:t xml:space="preserve">Por dónde empezar</w:t>
      </w:r>
    </w:p>
    <w:p>
      <w:pPr>
        <w:spacing w:after="140"/>
      </w:pPr>
      <w:r>
        <w:t xml:space="preserve">No hace falta arreglarlo todo a la vez. Ponle un plazo a cada color, de lo que más daño evita a lo que menos: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En los próximos 7 días, los rojos que no cuestan dinero: la norma de pagos y los accesos de fuera que ya no necesita nadie. Empieza hoy por los cambios de cuenta, que se confirman por teléfono.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En 15 días, el resto de los rojos, empezando por tus proveedores críticos: el contrato de encargado, el aviso de incidentes y el plan B.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En 30 días, los ámbares, cuando los rojos estén en marcha.</w:t>
      </w:r>
    </w:p>
    <w:p>
      <w:pPr>
        <w:pStyle w:val="Heading1"/>
      </w:pPr>
      <w:r>
        <w:t xml:space="preserve">Tus decisiones</w:t>
      </w:r>
    </w:p>
    <w:p>
      <w:pPr>
        <w:spacing w:after="140"/>
      </w:pPr>
      <w:r>
        <w:t xml:space="preserve">Con los colores delante, elige entre 3 y 5 decisiones a 30 días y ponle un responsable a cada una. Para tus proveedores, rellena la plantilla «Mapa de proveedores y plan B»; para el contrato de encargado, la AEPD publica un modelo de cláusulas gratuito, enlazado en «Guías oficiales para gestionar el riesgo de tus proveedores». Cuando pase el plazo, vuelve a pasar este checklist y comprueba qué colores han cambiado.</w:t>
      </w:r>
    </w:p>
    <w:p>
      <w:pPr>
        <w:pStyle w:val="Heading1"/>
      </w:pPr>
      <w:r>
        <w:t xml:space="preserve">En el taller presencial…</w:t>
      </w:r>
    </w:p>
    <w:p>
      <w:pPr>
        <w:spacing w:after="140"/>
      </w:pPr>
      <w:r>
        <w:t xml:space="preserve">En el Taller 4 trabajas estas medidas con el caso de una cooperativa de segundo grado ficticia, revisas quién entra en sus sistemas desde fuera y sales con tus 3–5 acciones a 30 días.</w:t>
      </w:r>
    </w:p>
    <w:p>
      <w:r>
        <w:rPr>
          <w:color w:val="51606C"/>
          <w:sz w:val="20"/>
          <w:szCs w:val="20"/>
        </w:rPr>
        <w:t xml:space="preserve">Participación gratuita para pymes de la Región de Murcia.</w:t>
      </w:r>
    </w:p>
    <w:sectPr>
      <w:footerReference w:type="default" r:id="rId6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drawing>
        <wp:inline distT="0" distB="0" distL="0" distR="0">
          <wp:extent cx="3400425" cy="571500"/>
          <wp:effectExtent t="0" r="0" b="0" l="0"/>
          <wp:docPr id="26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00425" cy="571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jc w:val="center"/>
    </w:pPr>
    <w:r>
      <w:rPr>
        <w:color w:val="51606C"/>
        <w:sz w:val="16"/>
        <w:szCs w:val="16"/>
      </w:rPr>
      <w:t xml:space="preserve">CIBERREG · Ciberseguridad práctica para pymes de la Región de Murcia · ciberreg.f-integra.org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5" w:hanging="425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  <w:lang w:val="es-ES"/>
      </w:rPr>
    </w:rPrDefault>
    <w:pPrDefault>
      <w:pPr>
        <w:spacing w:line="30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200" w:line="260"/>
    </w:pPr>
    <w:rPr>
      <w:rFonts w:ascii="Arial" w:cs="Arial" w:eastAsia="Arial" w:hAnsi="Arial"/>
      <w:b/>
      <w:bCs/>
      <w:color w:val="112C47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spacing w:after="140" w:before="320"/>
    </w:pPr>
    <w:rPr>
      <w:rFonts w:ascii="Arial" w:cs="Arial" w:eastAsia="Arial" w:hAnsi="Arial"/>
      <w:b/>
      <w:bCs/>
      <w:color w:val="112C47"/>
      <w:sz w:val="28"/>
      <w:szCs w:val="28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6c6363bef5c225dd4e643aca8e7bdcd4c6ff406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b4d5ef68a5d445ff41b93846799d563a5fbce72a.png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de seguridad en proveedores</dc:title>
  <dc:subject>Checklist · Taller 4 · Ciberataques a través de proveedores: protege tu negocio</dc:subject>
  <dc:creator>CIBERREG</dc:creator>
  <cp:keywords>CIBERREG, ciberseguridad, pymes, Región de Murcia</cp:keywords>
  <dc:description>Seis áreas para revisar la seguridad de tus proveedores y de todo lo que entra desde fuera, unas pocas preguntas en cada una y tres respuestas posibles: Implantado, Parcial o No implantado. Al terminar sabrás qué tienes en verde, en ámbar o en rojo, y qué decidir primero.</dc:description>
  <cp:lastModifiedBy>Un-named</cp:lastModifiedBy>
  <cp:revision>1</cp:revision>
  <dcterms:created xsi:type="dcterms:W3CDTF">2026-10-22T12:33:57.826Z</dcterms:created>
  <dcterms:modified xsi:type="dcterms:W3CDTF">2026-10-22T12:33:57.826Z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