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1428750" cy="742950"/>
            <wp:effectExtent t="0" r="0" b="0" l="0"/>
            <wp:docPr id="2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bCs/>
          <w:color w:val="51606C"/>
          <w:sz w:val="18"/>
          <w:szCs w:val="18"/>
        </w:rPr>
        <w:t xml:space="preserve">CHECKLIST · TALLER 3 · Tus datos, tu negocio: aprende a protegerlos</w:t>
      </w:r>
    </w:p>
    <w:p>
      <w:pPr>
        <w:pStyle w:val="Title"/>
      </w:pPr>
      <w:r>
        <w:t xml:space="preserve">Checklist de protección de la información</w:t>
      </w:r>
    </w:p>
    <w:p>
      <w:pPr>
        <w:spacing w:after="280"/>
      </w:pPr>
      <w:r>
        <w:rPr>
          <w:color w:val="51606C"/>
          <w:sz w:val="24"/>
          <w:szCs w:val="24"/>
        </w:rPr>
        <w:t xml:space="preserve">Seis áreas para revisar cómo proteges tu información de negocio, unas pocas preguntas en cada una y tres respuestas posibles: Implantado, Parcial o No implantado. Al terminar sabrás qué tienes en verde, en ámbar o en rojo, y qué decidir primero.</w:t>
      </w:r>
    </w:p>
    <w:p>
      <w:pPr>
        <w:pStyle w:val="Heading1"/>
      </w:pPr>
      <w:r>
        <w:t xml:space="preserve">Cómo funciona</w:t>
      </w:r>
    </w:p>
    <w:p>
      <w:pPr>
        <w:spacing w:after="140"/>
      </w:pPr>
      <w:r>
        <w:t xml:space="preserve">Las recetas, los listados de clientes, las tarifas de exportación o la trazabilidad son el patrimonio que no sale en el inventario. El riesgo más común no es un hacker, sino una carpeta abierta a todos o una cuenta de alguien que ya no está. Estas son las medidas que trabajamos en el Taller 3: casi todas son organización, no tecnología.</w:t>
      </w:r>
    </w:p>
    <w:p>
      <w:pPr>
        <w:spacing w:after="140"/>
      </w:pPr>
      <w:r>
        <w:t xml:space="preserve">Responde cada pregunta con «Implantado», «Parcial» o «No implantado», pensando en tu empresa tal y como está hoy. Ante la duda, elige la respuesta más baja: un rojo reconocido es justo lo que te dice por dónde empezar.</w:t>
      </w:r>
    </w:p>
    <w:p>
      <w:pPr>
        <w:pStyle w:val="Heading1"/>
      </w:pPr>
      <w:r>
        <w:t xml:space="preserve">Control de accesos internos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¿Cada persona entra con su propia cuenta y accede solo a la información que su trabajo necesita?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¿Los permisos se dan por grupos de función o de área (enología, exportación, administración), sin carpetas abiertas al grupo «Todos»?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3.</w:t>
      </w:r>
      <w:r>
        <w:t xml:space="preserve">	¿Revisamos los permisos al menos cada trimestre, también los de los técnicos externos?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4.</w:t>
      </w:r>
      <w:r>
        <w:t xml:space="preserve">	¿Las cuentas de los temporeros y de quien deja la empresa se cierran el mismo día que terminan?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Compartición segura de información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¿Los enlaces que compartimos fuera de la empresa van a personas concretas y caducan?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¿Los adjuntos sensibles van protegidos con contraseña y la contraseña se comunica por otro canal, como una llamada?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3.</w:t>
      </w:r>
      <w:r>
        <w:t xml:space="preserve">	¿Tenemos un canal acordado con cada importador, asesoría o proveedor, sin usar correo ni mensajería personal para el trabajo?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4.</w:t>
      </w:r>
      <w:r>
        <w:t xml:space="preserve">	¿Evitamos las copias de trabajo en memorias USB o en el escritorio «por si acaso»?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Datos sensibles: clientes, proveedores y producción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¿Sabemos dónde están los listados de clientes, los precios y las condiciones con proveedores, y quién los abre?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¿Los portátiles y móviles que salen de la empresa tienen el disco cifrado?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3.</w:t>
      </w:r>
      <w:r>
        <w:t xml:space="preserve">	¿Sabemos qué datos personales tratamos (nóminas, socios, temporeros, contactos) y para qué?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4.</w:t>
      </w:r>
      <w:r>
        <w:t xml:space="preserve">	¿Borramos con criterio la información que ya no necesitamos, como currículos o copias de DNI antiguas?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Recetas, procesos y trazabilidad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¿Las recetas, los coupages y los procesos propios solo los abren las personas que los necesitan?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¿Quien conoce las recetas o los procesos, también el personal externo, ha firmado un compromiso de confidencialidad?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3.</w:t>
      </w:r>
      <w:r>
        <w:t xml:space="preserve">	¿Los registros de trazabilidad se hacen con cuenta individual y con permiso para registrar, no para borrar?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4.</w:t>
      </w:r>
      <w:r>
        <w:t xml:space="preserve">	¿Las copias de la trazabilidad están probadas: hemos restaurado alguna?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Documentación de exportación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¿Las facturas, los certificados y las tarifas de exportación están en una carpeta solo para el equipo de exportación?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¿Los documentos de exportación se envían protegidos y por el canal acordado con cada importador?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3.</w:t>
      </w:r>
      <w:r>
        <w:t xml:space="preserve">	¿Un cambio de cuenta bancaria de un importador o de un proveedor se verifica siempre por un segundo canal, como una llamada?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4.</w:t>
      </w:r>
      <w:r>
        <w:t xml:space="preserve">	¿Guardamos una copia de lo enviado en cada expedición?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Continuidad de negocio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¿Sabemos cuáles son nuestros procesos críticos y cuánto tiempo aguantamos sin cada uno?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¿Tenemos pensado un plan B antes de necesitarlo, como el registro en papel si cae el ERP?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3.</w:t>
      </w:r>
      <w:r>
        <w:t xml:space="preserve">	¿Los contactos de clientes, importadores y proveedores clave están también fuera del correo?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4.</w:t>
      </w:r>
      <w:r>
        <w:t xml:space="preserve">	¿Al menos dos personas saben restaurar las copias y el plan está escrito en una página?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Cómo sale el color de cada área</w:t>
      </w:r>
    </w:p>
    <w:p>
      <w:pPr>
        <w:spacing w:after="140"/>
      </w:pPr>
      <w:r>
        <w:t xml:space="preserve">Mira las respuestas de cada área por separado. Sé exigente: una medida solo está implantada si funciona hoy, no si está prevista.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Verde (cubierto): todas las respuestas del área son «Implantado».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Ámbar (a medias): hay algún «Parcial» y ningún «No implantado».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Rojo (sin cubrir): hay al menos un «No implantado».</w:t>
      </w:r>
    </w:p>
    <w:p>
      <w:pPr>
        <w:pStyle w:val="Heading1"/>
      </w:pPr>
      <w:r>
        <w:t xml:space="preserve">Por dónde empezar</w:t>
      </w:r>
    </w:p>
    <w:p>
      <w:pPr>
        <w:spacing w:after="140"/>
      </w:pPr>
      <w:r>
        <w:t xml:space="preserve">No hace falta arreglarlo todo a la vez. Ponle un plazo a cada color, de lo que más daño evita a lo que menos: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En los próximos 7 días, los rojos de accesos: las carpetas abiertas a todos y las cuentas de quien ya no está. Cerrarlos no cuesta dinero.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En 15 días, el resto de los rojos, empezando por las recetas, la exportación y la continuidad.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En 30 días, los ámbares, cuando los rojos estén en marcha.</w:t>
      </w:r>
    </w:p>
    <w:p>
      <w:pPr>
        <w:pStyle w:val="Heading1"/>
      </w:pPr>
      <w:r>
        <w:t xml:space="preserve">Tus decisiones</w:t>
      </w:r>
    </w:p>
    <w:p>
      <w:pPr>
        <w:spacing w:after="140"/>
      </w:pPr>
      <w:r>
        <w:t xml:space="preserve">Con los colores delante, elige entre 3 y 5 decisiones a 30 días y ponle un responsable a cada una. Para convertir los accesos en norma, rellena la plantilla «Política básica de accesos». Cuando pase el plazo, vuelve a pasar este checklist y comprueba qué colores han cambiado.</w:t>
      </w:r>
    </w:p>
    <w:p>
      <w:pPr>
        <w:pStyle w:val="Heading1"/>
      </w:pPr>
      <w:r>
        <w:t xml:space="preserve">En el taller presencial…</w:t>
      </w:r>
    </w:p>
    <w:p>
      <w:pPr>
        <w:spacing w:after="140"/>
      </w:pPr>
      <w:r>
        <w:t xml:space="preserve">En el Taller 3 trabajas estas medidas con el caso de una bodega cooperativa ficticia, ordenas los permisos de una carpeta compartida y sales con tus 3–5 decisiones a 30 días.</w:t>
      </w:r>
    </w:p>
    <w:p>
      <w:r>
        <w:rPr>
          <w:color w:val="51606C"/>
          <w:sz w:val="20"/>
          <w:szCs w:val="20"/>
        </w:rPr>
        <w:t xml:space="preserve">Participación gratuita para pymes de la Región de Murcia.</w:t>
      </w:r>
    </w:p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drawing>
        <wp:inline distT="0" distB="0" distL="0" distR="0">
          <wp:extent cx="3400425" cy="571500"/>
          <wp:effectExtent t="0" r="0" b="0" l="0"/>
          <wp:docPr id="22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0425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</w:pPr>
    <w:r>
      <w:rPr>
        <w:color w:val="51606C"/>
        <w:sz w:val="16"/>
        <w:szCs w:val="16"/>
      </w:rPr>
      <w:t xml:space="preserve">CIBERREG · Ciberseguridad práctica para pymes de la Región de Murcia · ciberreg.f-integra.org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5" w:hanging="42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ES"/>
      </w:rPr>
    </w:rPrDefault>
    <w:pPrDefault>
      <w:pPr>
        <w:spacing w:line="30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 w:line="260"/>
    </w:pPr>
    <w:rPr>
      <w:rFonts w:ascii="Arial" w:cs="Arial" w:eastAsia="Arial" w:hAnsi="Arial"/>
      <w:b/>
      <w:bCs/>
      <w:color w:val="112C4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40" w:before="320"/>
    </w:pPr>
    <w:rPr>
      <w:rFonts w:ascii="Arial" w:cs="Arial" w:eastAsia="Arial" w:hAnsi="Arial"/>
      <w:b/>
      <w:bCs/>
      <w:color w:val="112C47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6c6363bef5c225dd4e643aca8e7bdcd4c6ff40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b4d5ef68a5d445ff41b93846799d563a5fbce72a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protección de la información</dc:title>
  <dc:subject>Checklist · Taller 3 · Tus datos, tu negocio: aprende a protegerlos</dc:subject>
  <dc:creator>CIBERREG</dc:creator>
  <cp:keywords>CIBERREG, ciberseguridad, pymes, Región de Murcia</cp:keywords>
  <dc:description>Seis áreas para revisar cómo proteges tu información de negocio, unas pocas preguntas en cada una y tres respuestas posibles: Implantado, Parcial o No implantado. Al terminar sabrás qué tienes en verde, en ámbar o en rojo, y qué decidir primero.</dc:description>
  <cp:lastModifiedBy>Un-named</cp:lastModifiedBy>
  <cp:revision>1</cp:revision>
  <dcterms:created xsi:type="dcterms:W3CDTF">2026-10-22T12:33:57.744Z</dcterms:created>
  <dcterms:modified xsi:type="dcterms:W3CDTF">2026-10-22T12:33:57.744Z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